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00000" w:rsidRDefault="006F0E8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0000" w:rsidRDefault="006F0E8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</w:rPr>
      </w:pPr>
      <w:r>
        <w:rPr>
          <w:sz w:val="32"/>
        </w:rPr>
        <w:t>Four Thought Strategy</w:t>
      </w:r>
    </w:p>
    <w:p w:rsidR="00000000" w:rsidRDefault="006F0E8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0000" w:rsidRDefault="006F0E86"/>
    <w:p w:rsidR="00000000" w:rsidRDefault="006F0E86">
      <w:r>
        <w:t>Have you ever asked students to interpret a text, and all they do is summarize it?  Do you want to help your students build more sophisticated interpretations in a step-by-step fashion?</w:t>
      </w:r>
    </w:p>
    <w:p w:rsidR="00000000" w:rsidRDefault="006F0E86"/>
    <w:p w:rsidR="00000000" w:rsidRDefault="006F0E86">
      <w:r>
        <w:t xml:space="preserve">Effective interpretations of text are often </w:t>
      </w:r>
      <w:r>
        <w:t xml:space="preserve">multi-dimensional with description, critical thinking, personal response, </w:t>
      </w:r>
      <w:proofErr w:type="gramStart"/>
      <w:r>
        <w:t>imagination</w:t>
      </w:r>
      <w:proofErr w:type="gramEnd"/>
      <w:r>
        <w:t xml:space="preserve">, problem solving, etc.; however, many readers make interpretations that are one-dimensional or oversimplified.  </w:t>
      </w:r>
    </w:p>
    <w:p w:rsidR="00000000" w:rsidRDefault="006F0E86"/>
    <w:p w:rsidR="00000000" w:rsidRDefault="006F0E86">
      <w:r>
        <w:t>Numerous students, whenever they are dealing with diffic</w:t>
      </w:r>
      <w:r>
        <w:t xml:space="preserve">ult text, do not know where to begin when it comes to this higher-level skill of making interpretations. The following strategy will help break down this task into more manageable steps. </w:t>
      </w:r>
    </w:p>
    <w:p w:rsidR="00000000" w:rsidRDefault="006F0E86"/>
    <w:p w:rsidR="00000000" w:rsidRDefault="006F0E86"/>
    <w:p w:rsidR="00000000" w:rsidRDefault="006F0E86">
      <w:pPr>
        <w:rPr>
          <w:b/>
          <w:bCs/>
          <w:i/>
          <w:iCs/>
        </w:rPr>
      </w:pPr>
      <w:r>
        <w:rPr>
          <w:b/>
          <w:bCs/>
          <w:i/>
          <w:iCs/>
        </w:rPr>
        <w:t>How It Works:</w:t>
      </w:r>
    </w:p>
    <w:p w:rsidR="00000000" w:rsidRDefault="006F0E86"/>
    <w:p w:rsidR="00000000" w:rsidRDefault="006F0E86">
      <w:pPr>
        <w:numPr>
          <w:ilvl w:val="0"/>
          <w:numId w:val="1"/>
        </w:numPr>
      </w:pPr>
      <w:r>
        <w:t>Introduce students to the topic or title of the rea</w:t>
      </w:r>
      <w:r>
        <w:t>ding.</w:t>
      </w:r>
    </w:p>
    <w:p w:rsidR="00000000" w:rsidRDefault="006F0E86">
      <w:pPr>
        <w:ind w:left="360"/>
      </w:pPr>
    </w:p>
    <w:p w:rsidR="00000000" w:rsidRDefault="006F0E86">
      <w:pPr>
        <w:numPr>
          <w:ilvl w:val="0"/>
          <w:numId w:val="1"/>
        </w:numPr>
      </w:pPr>
      <w:r>
        <w:t xml:space="preserve">Generate pre-reading associations based on what they know, what they </w:t>
      </w:r>
      <w:r>
        <w:rPr>
          <w:i/>
          <w:iCs/>
        </w:rPr>
        <w:t>think</w:t>
      </w:r>
      <w:r>
        <w:t xml:space="preserve"> they know, or how they feel about the topic.  *Remember:  It is important that readers revisit their pre-reading associations so that they can correct any misinformation that</w:t>
      </w:r>
      <w:r>
        <w:t xml:space="preserve"> they might have had before reading the text.  </w:t>
      </w:r>
    </w:p>
    <w:p w:rsidR="00000000" w:rsidRDefault="006F0E86"/>
    <w:p w:rsidR="00000000" w:rsidRDefault="006F0E86">
      <w:pPr>
        <w:numPr>
          <w:ilvl w:val="0"/>
          <w:numId w:val="1"/>
        </w:numPr>
      </w:pPr>
      <w:r>
        <w:t>Students read the text and respond to four separate stems/sentence starters.  Each stem/sentence starter corresponds to a different layer of meaning that will become part of the student’s interpretation.  Yo</w:t>
      </w:r>
      <w:r>
        <w:t>u can prescribe the stems or have students create or choose their own.</w:t>
      </w:r>
    </w:p>
    <w:p w:rsidR="00000000" w:rsidRDefault="006F0E86"/>
    <w:p w:rsidR="00000000" w:rsidRDefault="006F0E86">
      <w:pPr>
        <w:numPr>
          <w:ilvl w:val="0"/>
          <w:numId w:val="1"/>
        </w:numPr>
      </w:pPr>
      <w:r>
        <w:t>Working in groups, students share their responses and exchange ideas for turning their Four Thoughts into essays (or whatever end product you choose) on the topic.  Of course, the acti</w:t>
      </w:r>
      <w:r>
        <w:t xml:space="preserve">vity can also end here with no further extension necessary.  </w:t>
      </w:r>
    </w:p>
    <w:p w:rsidR="00000000" w:rsidRDefault="006F0E86"/>
    <w:p w:rsidR="00000000" w:rsidRDefault="006F0E86"/>
    <w:p w:rsidR="00000000" w:rsidRDefault="006F0E86">
      <w:r>
        <w:t xml:space="preserve"> </w:t>
      </w:r>
    </w:p>
    <w:p w:rsidR="00000000" w:rsidRDefault="006F0E86"/>
    <w:p w:rsidR="00000000" w:rsidRDefault="006F0E86"/>
    <w:p w:rsidR="00000000" w:rsidRDefault="006F0E86"/>
    <w:p w:rsidR="00000000" w:rsidRDefault="006F0E86">
      <w:pPr>
        <w:rPr>
          <w:i/>
          <w:iCs/>
        </w:rPr>
      </w:pPr>
      <w:r>
        <w:t xml:space="preserve"> Strong, R.W., Perini, M.J., Silver, H.F., </w:t>
      </w:r>
      <w:proofErr w:type="spellStart"/>
      <w:r>
        <w:t>Tuculescu</w:t>
      </w:r>
      <w:proofErr w:type="spellEnd"/>
      <w:r>
        <w:t xml:space="preserve">, G.M. (2002).  </w:t>
      </w:r>
      <w:r>
        <w:rPr>
          <w:i/>
          <w:iCs/>
        </w:rPr>
        <w:t xml:space="preserve">Reading for academic </w:t>
      </w:r>
    </w:p>
    <w:p w:rsidR="00000000" w:rsidRDefault="006F0E86">
      <w:pPr>
        <w:ind w:firstLine="720"/>
      </w:pPr>
      <w:proofErr w:type="gramStart"/>
      <w:r>
        <w:rPr>
          <w:i/>
          <w:iCs/>
        </w:rPr>
        <w:t>success</w:t>
      </w:r>
      <w:proofErr w:type="gramEnd"/>
      <w:r>
        <w:t>.  Thousand Oaks, CA:  Corwin Press, Inc.</w:t>
      </w:r>
    </w:p>
    <w:p w:rsidR="00000000" w:rsidRDefault="006F0E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</w:rPr>
      </w:pPr>
      <w:r>
        <w:br w:type="page"/>
      </w:r>
      <w:r>
        <w:rPr>
          <w:b/>
          <w:bCs/>
          <w:sz w:val="40"/>
        </w:rPr>
        <w:t xml:space="preserve">Four Thought </w:t>
      </w:r>
      <w:proofErr w:type="gramStart"/>
      <w:r>
        <w:rPr>
          <w:b/>
          <w:bCs/>
          <w:sz w:val="40"/>
        </w:rPr>
        <w:t>Organizer</w:t>
      </w:r>
      <w:proofErr w:type="gramEnd"/>
    </w:p>
    <w:p w:rsidR="00000000" w:rsidRDefault="006F0E86"/>
    <w:p w:rsidR="00000000" w:rsidRDefault="006F0E86"/>
    <w:p w:rsidR="00000000" w:rsidRDefault="006F0E86">
      <w:pPr>
        <w:jc w:val="center"/>
        <w:rPr>
          <w:b/>
          <w:bCs/>
        </w:rPr>
      </w:pPr>
      <w:r>
        <w:rPr>
          <w:b/>
          <w:bCs/>
        </w:rPr>
        <w:t>Topic/Text:  _________</w:t>
      </w:r>
      <w:r>
        <w:rPr>
          <w:b/>
          <w:bCs/>
        </w:rPr>
        <w:t>__________________________</w:t>
      </w:r>
    </w:p>
    <w:p w:rsidR="00000000" w:rsidRDefault="006F0E86">
      <w:pPr>
        <w:jc w:val="center"/>
      </w:pPr>
    </w:p>
    <w:p w:rsidR="00000000" w:rsidRDefault="006F0E86">
      <w:pPr>
        <w:jc w:val="center"/>
      </w:pPr>
    </w:p>
    <w:p w:rsidR="00000000" w:rsidRDefault="006F0E86">
      <w:pPr>
        <w:jc w:val="center"/>
        <w:rPr>
          <w:b/>
          <w:bCs/>
        </w:rPr>
      </w:pPr>
      <w:r>
        <w:rPr>
          <w:b/>
          <w:bCs/>
          <w:noProof/>
          <w:sz w:val="20"/>
        </w:rPr>
        <w:pict>
          <v:shapetype id="_x0000_t61" coordsize="21600,21600" o:spt="61" adj="1350,25920" path="m0,0l0@8@12@24,0@9,,21600@6,21600@15@27@7,21600,21600,21600,21600@9@18@30,21600@8,21600,0@7,0@21@33@6,0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-18pt;margin-top:-.2pt;width:450pt;height:108pt;z-index:-251659264" adj="1783,28680">
            <v:textbox>
              <w:txbxContent>
                <w:p w:rsidR="00000000" w:rsidRDefault="006F0E86"/>
              </w:txbxContent>
            </v:textbox>
          </v:shape>
        </w:pict>
      </w:r>
    </w:p>
    <w:p w:rsidR="00000000" w:rsidRDefault="006F0E86">
      <w:pPr>
        <w:jc w:val="center"/>
        <w:rPr>
          <w:b/>
          <w:bCs/>
        </w:rPr>
      </w:pPr>
      <w:r>
        <w:rPr>
          <w:b/>
          <w:bCs/>
        </w:rPr>
        <w:t>Pre-reading Associations:</w:t>
      </w:r>
    </w:p>
    <w:p w:rsidR="00000000" w:rsidRDefault="006F0E86">
      <w:pPr>
        <w:jc w:val="center"/>
      </w:pPr>
    </w:p>
    <w:p w:rsidR="00000000" w:rsidRDefault="006F0E86"/>
    <w:p w:rsidR="00000000" w:rsidRDefault="006F0E86"/>
    <w:p w:rsidR="00000000" w:rsidRDefault="006F0E86"/>
    <w:p w:rsidR="00000000" w:rsidRDefault="006F0E86"/>
    <w:p w:rsidR="00000000" w:rsidRDefault="006F0E86">
      <w:pPr>
        <w:pStyle w:val="BodyText"/>
        <w:rPr>
          <w:b/>
          <w:bCs/>
        </w:rPr>
      </w:pPr>
    </w:p>
    <w:p w:rsidR="00000000" w:rsidRDefault="006F0E86">
      <w:pPr>
        <w:pStyle w:val="BodyText"/>
        <w:rPr>
          <w:b/>
          <w:bCs/>
        </w:rPr>
      </w:pPr>
    </w:p>
    <w:p w:rsidR="00000000" w:rsidRDefault="006F0E86">
      <w:pPr>
        <w:pStyle w:val="BodyText"/>
        <w:rPr>
          <w:b/>
          <w:bCs/>
        </w:rPr>
      </w:pPr>
      <w:r>
        <w:rPr>
          <w:b/>
          <w:bCs/>
          <w:noProof/>
          <w:sz w:val="20"/>
        </w:rPr>
        <w:pict>
          <v:shapetype id="_x0000_t106" coordsize="21600,21600" o:spt="106" adj="1350,25920" path="ar0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0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left:0;text-align:left;margin-left:2in;margin-top:10.6pt;width:2in;height:54pt;z-index:-251658240">
            <v:textbox>
              <w:txbxContent>
                <w:p w:rsidR="00000000" w:rsidRDefault="006F0E86"/>
              </w:txbxContent>
            </v:textbox>
          </v:shape>
        </w:pict>
      </w:r>
    </w:p>
    <w:p w:rsidR="00000000" w:rsidRDefault="006F0E86">
      <w:pPr>
        <w:pStyle w:val="BodyText"/>
        <w:rPr>
          <w:b/>
          <w:bCs/>
        </w:rPr>
      </w:pPr>
    </w:p>
    <w:p w:rsidR="00000000" w:rsidRDefault="006F0E86">
      <w:pPr>
        <w:pStyle w:val="BodyText"/>
        <w:rPr>
          <w:b/>
          <w:bCs/>
        </w:rPr>
      </w:pPr>
      <w:r>
        <w:rPr>
          <w:b/>
          <w:bCs/>
        </w:rPr>
        <w:t>Four Thoughts</w:t>
      </w:r>
    </w:p>
    <w:p w:rsidR="00000000" w:rsidRDefault="006F0E86">
      <w:pPr>
        <w:pStyle w:val="BodyText"/>
        <w:rPr>
          <w:b/>
          <w:bCs/>
        </w:rPr>
      </w:pPr>
      <w:r>
        <w:rPr>
          <w:b/>
          <w:bCs/>
        </w:rPr>
        <w:br/>
      </w:r>
    </w:p>
    <w:p w:rsidR="00000000" w:rsidRDefault="006F0E86">
      <w:pPr>
        <w:pStyle w:val="BodyTex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Describe It</w:t>
            </w: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</w:tc>
        <w:tc>
          <w:tcPr>
            <w:tcW w:w="4428" w:type="dxa"/>
          </w:tcPr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React to It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Analyze It</w:t>
            </w: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  <w:p w:rsidR="00000000" w:rsidRDefault="006F0E86">
            <w:pPr>
              <w:jc w:val="center"/>
              <w:rPr>
                <w:b/>
                <w:bCs/>
              </w:rPr>
            </w:pPr>
          </w:p>
        </w:tc>
        <w:tc>
          <w:tcPr>
            <w:tcW w:w="4428" w:type="dxa"/>
          </w:tcPr>
          <w:p w:rsidR="00000000" w:rsidRDefault="006F0E86">
            <w:pPr>
              <w:pStyle w:val="Heading1"/>
            </w:pPr>
          </w:p>
          <w:p w:rsidR="00000000" w:rsidRDefault="006F0E86">
            <w:pPr>
              <w:pStyle w:val="Heading1"/>
            </w:pPr>
            <w:r>
              <w:t>Solve It</w:t>
            </w:r>
          </w:p>
        </w:tc>
      </w:tr>
    </w:tbl>
    <w:p w:rsidR="00000000" w:rsidRDefault="006F0E86"/>
    <w:p w:rsidR="00000000" w:rsidRDefault="006F0E86"/>
    <w:p w:rsidR="00000000" w:rsidRDefault="006F0E86">
      <w:pPr>
        <w:rPr>
          <w:i/>
          <w:iCs/>
        </w:rPr>
      </w:pPr>
      <w:r>
        <w:rPr>
          <w:i/>
          <w:iCs/>
        </w:rPr>
        <w:t>Alternative Four Thought Stems:</w:t>
      </w:r>
    </w:p>
    <w:p w:rsidR="006F0E86" w:rsidRDefault="006F0E86">
      <w:r>
        <w:t xml:space="preserve">Define it, Sequence it, Compare it, Prove it, Visualize it, </w:t>
      </w:r>
      <w:proofErr w:type="spellStart"/>
      <w:r>
        <w:t>Metaphorize</w:t>
      </w:r>
      <w:proofErr w:type="spellEnd"/>
      <w:r>
        <w:t xml:space="preserve"> it</w:t>
      </w:r>
      <w:r>
        <w:t>, Improve it, Be it, Teach it, Draw it, Imagine it, Contradict it, Change it, Evaluate it, Connect to it, Question it, etc.</w:t>
      </w:r>
    </w:p>
    <w:sectPr w:rsidR="006F0E86">
      <w:headerReference w:type="default" r:id="rId5"/>
      <w:footerReference w:type="default" r:id="rId6"/>
      <w:headerReference w:type="first" r:id="rId7"/>
      <w:pgSz w:w="12240" w:h="15840"/>
      <w:pgMar w:top="1440" w:right="1800" w:bottom="1440" w:left="1800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F0E86">
    <w:pPr>
      <w:pStyle w:val="Header"/>
      <w:tabs>
        <w:tab w:val="clear" w:pos="4320"/>
        <w:tab w:val="clear" w:pos="8640"/>
      </w:tabs>
    </w:pPr>
  </w:p>
  <w:p w:rsidR="00000000" w:rsidRDefault="006F0E86">
    <w:pPr>
      <w:rPr>
        <w:i/>
        <w:iCs/>
        <w:sz w:val="22"/>
      </w:rPr>
    </w:pPr>
    <w:r>
      <w:rPr>
        <w:sz w:val="22"/>
      </w:rPr>
      <w:t xml:space="preserve"> Strong, R.W., Perini, M.J., Silver, H.F., </w:t>
    </w:r>
    <w:proofErr w:type="spellStart"/>
    <w:r>
      <w:rPr>
        <w:sz w:val="22"/>
      </w:rPr>
      <w:t>Tuculescu</w:t>
    </w:r>
    <w:proofErr w:type="spellEnd"/>
    <w:r>
      <w:rPr>
        <w:sz w:val="22"/>
      </w:rPr>
      <w:t xml:space="preserve">, G.M. (2002).  </w:t>
    </w:r>
    <w:r>
      <w:rPr>
        <w:i/>
        <w:iCs/>
        <w:sz w:val="22"/>
      </w:rPr>
      <w:t xml:space="preserve">Reading for academic </w:t>
    </w:r>
  </w:p>
  <w:p w:rsidR="00000000" w:rsidRDefault="006F0E86">
    <w:pPr>
      <w:pStyle w:val="Footer"/>
    </w:pPr>
    <w:r>
      <w:rPr>
        <w:i/>
        <w:iCs/>
        <w:sz w:val="22"/>
      </w:rPr>
      <w:t xml:space="preserve">    </w:t>
    </w:r>
    <w:r>
      <w:rPr>
        <w:i/>
        <w:iCs/>
        <w:sz w:val="22"/>
      </w:rPr>
      <w:t xml:space="preserve">       </w:t>
    </w:r>
    <w:proofErr w:type="gramStart"/>
    <w:r>
      <w:rPr>
        <w:i/>
        <w:iCs/>
        <w:sz w:val="22"/>
      </w:rPr>
      <w:t>success</w:t>
    </w:r>
    <w:proofErr w:type="gramEnd"/>
    <w:r>
      <w:rPr>
        <w:sz w:val="22"/>
      </w:rPr>
      <w:t>.  Thousand Oaks, CA:  Corwin Press, Inc.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F0E86">
    <w:pPr>
      <w:pStyle w:val="Header"/>
      <w:jc w:val="right"/>
      <w:rPr>
        <w:i/>
        <w:iCs/>
        <w:sz w:val="20"/>
      </w:rPr>
    </w:pPr>
    <w:r>
      <w:rPr>
        <w:i/>
        <w:iCs/>
        <w:sz w:val="20"/>
      </w:rPr>
      <w:t>Johnson, Reading Strategy 10/22/07</w:t>
    </w:r>
  </w:p>
  <w:p w:rsidR="00000000" w:rsidRDefault="006F0E86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F0E86">
    <w:pPr>
      <w:pStyle w:val="Header"/>
      <w:jc w:val="right"/>
      <w:rPr>
        <w:i/>
        <w:iCs/>
        <w:sz w:val="20"/>
      </w:rPr>
    </w:pPr>
    <w:r>
      <w:rPr>
        <w:i/>
        <w:iCs/>
        <w:sz w:val="20"/>
      </w:rPr>
      <w:t>Johnson, Reading Strategy 10/22/07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72D1C"/>
    <w:multiLevelType w:val="hybridMultilevel"/>
    <w:tmpl w:val="220C9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noPunctuationKerning/>
  <w:characterSpacingControl w:val="doNotCompress"/>
  <w:savePreviewPicture/>
  <w:doNotValidateAgainstSchema/>
  <w:doNotDemarcateInvalidXml/>
  <w:compat/>
  <w:rsids>
    <w:rsidRoot w:val="006F0E86"/>
    <w:rsid w:val="006F0E8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BodyText">
    <w:name w:val="Body Text"/>
    <w:basedOn w:val="Normal"/>
    <w:pPr>
      <w:jc w:val="center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header" Target="head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1791</Characters>
  <Application>Microsoft Macintosh Word</Application>
  <DocSecurity>0</DocSecurity>
  <Lines>14</Lines>
  <Paragraphs>3</Paragraphs>
  <ScaleCrop>false</ScaleCrop>
  <Company>Glenbrook High Schools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 Thought Strategy</dc:title>
  <dc:subject/>
  <dc:creator>admin_dist</dc:creator>
  <cp:keywords/>
  <dc:description/>
  <cp:lastModifiedBy>admin_dist</cp:lastModifiedBy>
  <cp:revision>1</cp:revision>
  <cp:lastPrinted>2007-10-22T20:04:00Z</cp:lastPrinted>
  <dcterms:created xsi:type="dcterms:W3CDTF">2009-11-15T18:53:00Z</dcterms:created>
  <dcterms:modified xsi:type="dcterms:W3CDTF">2009-11-15T18:53:00Z</dcterms:modified>
</cp:coreProperties>
</file>